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52 vom 29. August 2014</w:t>
      </w:r>
    </w:p>
    <w:p>
      <w:r>
        <w:t>GR Gerichte, 2014-08-29, DE</w:t>
      </w:r>
    </w:p>
    <w:p>
      <w:r>
        <w:rPr>
          <w:b/>
        </w:rPr>
        <w:t xml:space="preserve">Quelle: </w:t>
      </w:r>
      <w:r>
        <w:t>https://mcp.opencaselaw.ch/entscheid/gr_gerichte_KSK 2014 52</w:t>
      </w:r>
    </w:p>
    <w:p>
      <w:r>
        <w:t>FR: GR_GERICHTE KSK 2014 52 du 29 août 2014</w:t>
      </w:r>
    </w:p>
    <w:p>
      <w:r>
        <w:t>IT: GR_GERICHTE KSK 2014 52 del 29 agosto 2014</w:t>
      </w:r>
    </w:p>
    <w:p>
      <w:pPr>
        <w:pStyle w:val="Heading2"/>
      </w:pPr>
      <w:r>
        <w:t>Regeste</w:t>
      </w:r>
    </w:p>
    <w:p>
      <w:r>
        <w:t>Pfändung (Berechnung Existenzminimum) | Aufsicht Beschwerde (SchKG 17 Abs. 1)</w:t>
      </w:r>
    </w:p>
    <w:p>
      <w:pPr>
        <w:pStyle w:val="Heading2"/>
      </w:pPr>
      <w:r>
        <w:t>Erwägungen</w:t>
      </w:r>
    </w:p>
    <w:p>
      <w:r>
        <w:rPr>
          <w:b/>
        </w:rPr>
        <w:t>E. 1</w:t>
      </w:r>
    </w:p>
    <w:p>
      <w:r>
        <w:t>Gemäss Art. 17 Abs. 1 SchKG kann grundsätzlich gegen jede Verfügung eines Betreibungs- oder eines Konkursamtes bei der Aufsichtsbehörde wegen Gesetzesverletzung oder Unangemessenheit Beschwerde geführt werden. An- fechtungsobjekt im Sinne von Art. 17 Abs. 1 SchKG ist vorliegend die Pfändungs- urkunde des Betreibungsamts Chur vom 16. Juli 2014 (in den Akten des Betrei- bungsamts allerdings fälschlicherweise datiert vom 13. August 2014). Die Be- schwerde wurde innert der 10-tägigen Frist seit Zustellung der Pfändungsurkunde (Art. 17 Abs. 2 SchKG) rechtzeitig und formgerecht bei der zuständigen Instanz eingereicht, so dass darauf eingetreten werden kann. 2.a) Vorliegend ist strittig und zu prüfen, ob das Betreibungsamt Chur das Exis- tenzminimum und damit die pfändbare Lohnquote von Y._____ zutreffend festge- setzt hat, indem es bei der Berechnung seines Existenzminimums die von ihm und seiner Frau an deren (erweiterte) Familie auf den L.1_____ monatlich bezahlten Unterstützungsbeiträge von CHF 1'800.– berücksichtigte. b) Massgebende gesetzliche Grundlage für die Einkommenspfändung ist Art. 93 SchKG. Gemäss Abs. 1 dieser Bestimmung können Erwerbseinkommen jeder Art, Nutzniessungen und ihre Erträge, Leibrenten sowie Unterhaltsbeiträge, Pen- sionen und Leistungen jeder Art, die einen Erwerbsausfall oder Unterhaltsan- spruch abgelten, namentlich Renten und Kapitalabfindungen, die nicht nach Artikel 92 unpfändbar sind, so weit gepfändet werden, als sie nach dem Ermessen des Betreibungsbeamten für den Schuldner und seine Familie nicht unbedingt not- wendig sind. Dem Ermessen des Betreibungsbeamten ist dabei ein weiter Spiel- raum gegeben (Vonder Mühll, in: Staehelin/Bauer/Staehelin [Hrsg.], Basler Kom- mentar zum Bundesgesetz über Schuldbetreibung und Konkurs I, Art. 1-158</w:t>
      </w:r>
    </w:p>
    <w:p>
      <w:r>
        <w:t>Seite 4 — 6 SchKG, 2. Aufl., Basel 2010, N 21 zu Art. 93 SchKG; Jolanta Kren Kostki- ewicz/Hans Urlich Walder, SchKG-Kommentar, 18. Aufl., Zürich 2012, N 19-21 zu Art. 93 SchKG). Die Abklärung der tatsächlichen Verhältnisse des Schuldners er- folgt grundsätzlich von Amtes wegen. Dem Schuldner obliegt allerdings eine Mit- wirkungspflicht (vgl. Art. 91 Abs. 1 Ziff. 2 SchKG). c) Bei Y._____ und seiner Ehefrau D._____ handelt es sich um Doppelverdie- ner. Für die proportionale Aufteilung des Existenzminimums der vorliegenden Fa- milie wird deshalb gemäss Lehre und Rechtsprechung nach folgender Methode vorgegangen: Es werden zunächst die Nettoeinkommen beider Ehegatten und ihr gemeinsames Existenzminimum bestimmt und das ermittelte Existenzminimum im Verhältnis der Nettoeinkommen auf die Ehegatten aufgeteilt. Die pfändbare Quote des Einkommens des betriebenen Ehegatten ergibt sich dann durch Abzug seines Anteils am Existenzminimum von seinem massgeblichen Nettoeinkommen (Von- der Mühll, a.a.O., N 34 zu Art. 93 SchKG mit Hinweisen auf BGE 116 III 75 E. 2a S. 78 und BGE 114 III 12 E. 3 S. 16). Das Betreibungsamt Chur bediente sich bei der Berechnung des Existenzminimums von Y._____ der soeben aufgeführten Methode, was von der Beschwerdeführerin auch nicht beanstandet wird. Berech- net wurde eine pfändbare Lohnquote von CHF 503.–. d) Im Folgenden ist somit einzig zu prüfen, ob der von der Familie Y._____ an die L.1_____ Familie der Ehefrau überwiesene monatliche Betrag von CHF 1'800.– zum gemeinsamen Notbedarf geschlagen werden darf. Der Beschwerde- gegner bejaht dies mit dem Hinweis auf eine gesetzliche Pflicht nach L.1_____m Recht und mit der Abschreibungsverfügung des Kreispräsidenten C._____ vom 8. Dezember 2010 (act. B.7), worin ein Vergleich zwischen seiner Schwiegermutter, E._____, und seiner Ehefrau, D._____, aufgenommen wurde, wonach seine Ehe- frau sich verpflichtet, ihrer Mutter monatlich CHF 2'000.– als Unterhalt aufgrund des "Family Code of the L.1_____" (Art. 194 f.) zu bezahlen. Von dieser Unterstüt- zung profitieren gemäss einer Aufstellung vom 24. August 2010 auch andere Fa- milienmitglieder (vgl. act. B.1 05). e) Grundsätzlich sind die Betreibungsbehörden nicht an den richterlichen Ent- scheid über die vom Schuldner an den Unterhalt von Familienmitgliedern zu leis- tenden Beiträge gebunden. Ihnen steht auf jeden Fall ein uneingeschränktes Er- messen dann zu, wenn der Richter nicht selbst den Unterhaltsbeitrag festgelegt, sondern sich damit begnügt hat, eine Vereinbarung der Ehegatten zu genehmigen (vgl. BGE 130 III 45 E. 2 S. 47). Familienrechtliche Unterhaltsbeiträge sind bei der Ermittlung des Existenzminimums des Schuldners als Notbedarfsausgaben zu</w:t>
      </w:r>
    </w:p>
    <w:p>
      <w:r>
        <w:t>Seite 5 — 6 berücksichtigen, soweit der Alimentengläubiger die Beiträge zur Bestreitung sei- nes Unterhalts wirklich benötigt, und vorausgesetzt, dass der Schuldner sie auch tatsächlich bezahlt (BGE 107 III 75 E. 1 S. 76-77). Hierbei muss es sich aber um rechtlich geschuldete Unterhaltsbeiträge handeln, eine moralische Unterstüt- zungspflicht genügt nicht (Urteil des Bundesgerichts 5A_319/2011 vom 20. Sep- tember 2011 E. 2.2.2 S. 2; Vonder Mühll, a.a.O., N 25 zu Art. 93 SchKG; Kren Kostkiewicz/Walder, a.a.O., N 33 zu Art. 93 SchKG). Im vorliegenden Fall beruft sich der Schuldner auf eine Abschreibungsverfügung des Kreispräsidenten C._____, welche einen zwischen der Ehefrau des Beschwerdegegners und deren Mutter abgeschlossenen Vergleich über Unterhaltsbeiträge enthält. Der Inhalt des Vergleichs wurde offensichtlich vom Kreispräsidenten weder geprüft noch geneh- migt, sondern unbesehen in die Abschreibungsverfügung als Grund für die Verfah- rensbeendigung aufgenommen. Unter diesen Umständen ist diese Verfügung nicht geeignet, daraus irgendeinen Anspruch auf Berücksichtigung der vereinbar- ten Unterstützungsbeiträge bei der Existenzminimumberechnung abzuleiten. Da auch kein entsprechendes Urteil einer zuständigen L.1_____ Behörde vorliegt, haben die bezahlten Unterstützungsbeiträge lediglich den Charakter von freiwilli- gen, allenfalls moralisch geschuldeten Zuwendungen, welche bei der Berechnung des Existenzminimums nicht angerechnet werden dürfen. Daran ändert auch nichts, dass das L.1_____ Recht offenbar gewisse Unterhaltsansprüche der erwei- terten Familie kennt (vgl. act. B.1 05). Es fehlt nämlich ein entsprechender Ent- scheid, ob bei den betreffenden Personen die Voraussetzungen für den Bezug von Unterhaltsbeiträgen in bestimmter Höhe gegeben sind. Y._____ Ehefrau muss sich daher darauf beschränken, die von ihr als angemessen erachteten Unterstüt- zungsbeiträge an ihre Familie aus dem über ihrem Existenzminimumanteil liegen- den Betrag zu leisten.</w:t>
      </w:r>
    </w:p>
    <w:p>
      <w:r>
        <w:rPr>
          <w:b/>
        </w:rPr>
        <w:t>E. 3</w:t>
      </w:r>
    </w:p>
    <w:p>
      <w:r>
        <w:t>Die Beschwerde ist somit gutzuheissen und das Betreibungsamt Chur an- zuweisen, eine neue Berechnung der pfändbaren Lohnquote im Sinne der Erwä- gungen vorzunehmen.</w:t>
      </w:r>
    </w:p>
    <w:p>
      <w:r>
        <w:rPr>
          <w:b/>
        </w:rPr>
        <w:t>E. 4</w:t>
      </w:r>
    </w:p>
    <w:p>
      <w:r>
        <w:t>Die Kosten des Beschwerdeverfahrens von CHF 1'200.– verbleiben beim Kanton Graubünden (Art. 61 Abs. 2 lit. a der Gebührenverordnung zum Bundes- gesetz über Schuldbetreibung und Konkurs [GebV SchKG; SR 281.35]). Es wer- den keine Parteientschädigungen zugesprochen (Art. 62 Abs. 2 GebV SchKG).</w:t>
      </w:r>
    </w:p>
    <w:p>
      <w:r>
        <w:t>Seite 6 —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